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6A38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“拥抱AI 智启未来”每天30分钟线上讲座打卡</w:t>
      </w:r>
    </w:p>
    <w:p w14:paraId="222F8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982D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ED5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图书馆与超星平台联合推出，汇聚了人工智能及相关领域的行业专家及顶尖学者、专业名师，通过21场干货满满的通识讲座，带大家真正走进AI的智能世界。让我们一同拥抱 AI、智启未来。</w:t>
      </w:r>
    </w:p>
    <w:p w14:paraId="6B59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一、活动形式：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线上观看打卡</w:t>
      </w:r>
    </w:p>
    <w:p w14:paraId="5AE85F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二、活动时间：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2026年4月15日</w:t>
      </w:r>
    </w:p>
    <w:p w14:paraId="2FE123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三、活动亮点</w:t>
      </w:r>
    </w:p>
    <w:p w14:paraId="062704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1.精选优质师资</w:t>
      </w:r>
    </w:p>
    <w:p w14:paraId="48001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主讲人为人工智能及其相关领域前沿专家、学者，国内高校优秀教师等。</w:t>
      </w:r>
    </w:p>
    <w:p w14:paraId="25E2D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2.独家珍贵资源 </w:t>
      </w:r>
    </w:p>
    <w:p w14:paraId="4684EA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所选视频均为超星独家版权和获取授权的珍贵资源，可用于线上线下活动、广泛传播。</w:t>
      </w:r>
    </w:p>
    <w:p w14:paraId="0EE2B4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3.专业内容制作 </w:t>
      </w:r>
    </w:p>
    <w:p w14:paraId="448135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视频为超星名师讲坛视频团队精心策划、精美制作，期望以优质内容，补充科普资源，帮助学生提升人工智能素养。 </w:t>
      </w:r>
    </w:p>
    <w:p w14:paraId="59060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4BE5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四、讲座内容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866"/>
        <w:gridCol w:w="2333"/>
      </w:tblGrid>
      <w:tr w14:paraId="017A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5F5CB07"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“拥抱AI 智启未来” </w:t>
            </w:r>
            <w:r>
              <w:rPr>
                <w:rStyle w:val="7"/>
                <w:rFonts w:ascii="仿宋" w:hAnsi="仿宋" w:eastAsia="仿宋" w:cs="仿宋"/>
                <w:sz w:val="21"/>
                <w:szCs w:val="21"/>
              </w:rPr>
              <w:t>每天30分钟一讲座 21天打卡计划</w:t>
            </w:r>
          </w:p>
        </w:tc>
      </w:tr>
      <w:tr w14:paraId="0AB6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22" w:type="dxa"/>
            <w:gridSpan w:val="3"/>
          </w:tcPr>
          <w:p w14:paraId="584FDBF9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AI科技</w:t>
            </w:r>
          </w:p>
        </w:tc>
      </w:tr>
      <w:tr w14:paraId="649E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shd w:val="clear" w:color="auto" w:fill="30C0B4" w:themeFill="accent5"/>
          </w:tcPr>
          <w:p w14:paraId="1F3192C6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4BD8753E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4A16B805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0370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2D920A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AI的前世今生</w:t>
            </w:r>
          </w:p>
        </w:tc>
        <w:tc>
          <w:tcPr>
            <w:tcW w:w="866" w:type="dxa"/>
            <w:vAlign w:val="center"/>
          </w:tcPr>
          <w:p w14:paraId="56B020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周志华</w:t>
            </w:r>
          </w:p>
        </w:tc>
        <w:tc>
          <w:tcPr>
            <w:tcW w:w="2333" w:type="dxa"/>
            <w:vAlign w:val="bottom"/>
          </w:tcPr>
          <w:p w14:paraId="3DEB3581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南京大学教授</w:t>
            </w:r>
          </w:p>
        </w:tc>
      </w:tr>
      <w:tr w14:paraId="03E5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AE4A4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AI如何看世界——计算机视觉</w:t>
            </w:r>
          </w:p>
        </w:tc>
        <w:tc>
          <w:tcPr>
            <w:tcW w:w="866" w:type="dxa"/>
            <w:vAlign w:val="center"/>
          </w:tcPr>
          <w:p w14:paraId="0092A2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沈为</w:t>
            </w:r>
          </w:p>
        </w:tc>
        <w:tc>
          <w:tcPr>
            <w:tcW w:w="2333" w:type="dxa"/>
            <w:vAlign w:val="bottom"/>
          </w:tcPr>
          <w:p w14:paraId="147FBF9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上海交通大学教授</w:t>
            </w:r>
          </w:p>
        </w:tc>
      </w:tr>
      <w:tr w14:paraId="5EF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A0E03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从大语言模型到智能体协作</w:t>
            </w:r>
          </w:p>
        </w:tc>
        <w:tc>
          <w:tcPr>
            <w:tcW w:w="866" w:type="dxa"/>
            <w:vAlign w:val="center"/>
          </w:tcPr>
          <w:p w14:paraId="569664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杨洋</w:t>
            </w:r>
          </w:p>
        </w:tc>
        <w:tc>
          <w:tcPr>
            <w:tcW w:w="2333" w:type="dxa"/>
            <w:vAlign w:val="bottom"/>
          </w:tcPr>
          <w:p w14:paraId="62AB416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浙江大学副教授</w:t>
            </w:r>
          </w:p>
        </w:tc>
      </w:tr>
      <w:tr w14:paraId="5EA1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76DDEA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生成式AI——从理解到创造</w:t>
            </w:r>
          </w:p>
        </w:tc>
        <w:tc>
          <w:tcPr>
            <w:tcW w:w="866" w:type="dxa"/>
            <w:vAlign w:val="center"/>
          </w:tcPr>
          <w:p w14:paraId="3A68CC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黄涛</w:t>
            </w:r>
          </w:p>
        </w:tc>
        <w:tc>
          <w:tcPr>
            <w:tcW w:w="2333" w:type="dxa"/>
            <w:vAlign w:val="bottom"/>
          </w:tcPr>
          <w:p w14:paraId="617B9F7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上海交通大学助理教授</w:t>
            </w:r>
          </w:p>
        </w:tc>
      </w:tr>
      <w:tr w14:paraId="1D84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33D4E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具身智能：给AI一个身体，让智能走进现实</w:t>
            </w:r>
          </w:p>
        </w:tc>
        <w:tc>
          <w:tcPr>
            <w:tcW w:w="866" w:type="dxa"/>
            <w:vAlign w:val="center"/>
          </w:tcPr>
          <w:p w14:paraId="620A2B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叶林奇</w:t>
            </w:r>
          </w:p>
        </w:tc>
        <w:tc>
          <w:tcPr>
            <w:tcW w:w="2333" w:type="dxa"/>
            <w:vAlign w:val="bottom"/>
          </w:tcPr>
          <w:p w14:paraId="3B2BE1D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上海大学副教授</w:t>
            </w:r>
          </w:p>
        </w:tc>
      </w:tr>
      <w:tr w14:paraId="33AD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6D12CA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微软语音识别如何媲美人的水平？</w:t>
            </w:r>
          </w:p>
        </w:tc>
        <w:tc>
          <w:tcPr>
            <w:tcW w:w="866" w:type="dxa"/>
            <w:vAlign w:val="center"/>
          </w:tcPr>
          <w:p w14:paraId="04F2EC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黄学东</w:t>
            </w:r>
          </w:p>
        </w:tc>
        <w:tc>
          <w:tcPr>
            <w:tcW w:w="2333" w:type="dxa"/>
            <w:vAlign w:val="bottom"/>
          </w:tcPr>
          <w:p w14:paraId="76764E7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微软首席语音科学家</w:t>
            </w:r>
          </w:p>
        </w:tc>
      </w:tr>
      <w:tr w14:paraId="23D6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20B6B0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迈向无限智能时代，你准备好了吗？</w:t>
            </w:r>
          </w:p>
        </w:tc>
        <w:tc>
          <w:tcPr>
            <w:tcW w:w="866" w:type="dxa"/>
            <w:vAlign w:val="center"/>
          </w:tcPr>
          <w:p w14:paraId="1BADE1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成生辉</w:t>
            </w:r>
          </w:p>
        </w:tc>
        <w:tc>
          <w:tcPr>
            <w:tcW w:w="2333" w:type="dxa"/>
            <w:vAlign w:val="bottom"/>
          </w:tcPr>
          <w:p w14:paraId="78B71CB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暨南大学教授</w:t>
            </w:r>
          </w:p>
        </w:tc>
      </w:tr>
      <w:tr w14:paraId="271D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C878C4A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AI百态</w:t>
            </w:r>
          </w:p>
        </w:tc>
      </w:tr>
      <w:tr w14:paraId="1317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23" w:type="dxa"/>
            <w:shd w:val="clear" w:color="auto" w:fill="30C0B4" w:themeFill="accent5"/>
          </w:tcPr>
          <w:p w14:paraId="3EDEB489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00C0C53D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7E5B63FD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6DC1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1369722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农业机器人的核心技术与应用挑战</w:t>
            </w:r>
          </w:p>
        </w:tc>
        <w:tc>
          <w:tcPr>
            <w:tcW w:w="866" w:type="dxa"/>
            <w:vAlign w:val="center"/>
          </w:tcPr>
          <w:p w14:paraId="4F4DDE4C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秦建军</w:t>
            </w:r>
          </w:p>
        </w:tc>
        <w:tc>
          <w:tcPr>
            <w:tcW w:w="2333" w:type="dxa"/>
            <w:vAlign w:val="center"/>
          </w:tcPr>
          <w:p w14:paraId="7955DB0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北京建筑大学教授</w:t>
            </w:r>
          </w:p>
        </w:tc>
      </w:tr>
      <w:tr w14:paraId="5833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62EB59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互联网司法背景下的AI法官</w:t>
            </w:r>
          </w:p>
        </w:tc>
        <w:tc>
          <w:tcPr>
            <w:tcW w:w="866" w:type="dxa"/>
            <w:vAlign w:val="center"/>
          </w:tcPr>
          <w:p w14:paraId="38F82DF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2333" w:type="dxa"/>
            <w:vAlign w:val="center"/>
          </w:tcPr>
          <w:p w14:paraId="2407BEE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上海交通大学教授</w:t>
            </w:r>
          </w:p>
        </w:tc>
      </w:tr>
      <w:tr w14:paraId="4456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543C9C1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人工智能辅助写作</w:t>
            </w:r>
          </w:p>
        </w:tc>
        <w:tc>
          <w:tcPr>
            <w:tcW w:w="866" w:type="dxa"/>
            <w:vAlign w:val="center"/>
          </w:tcPr>
          <w:p w14:paraId="343E08A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胡伟</w:t>
            </w:r>
          </w:p>
        </w:tc>
        <w:tc>
          <w:tcPr>
            <w:tcW w:w="2333" w:type="dxa"/>
            <w:vAlign w:val="center"/>
          </w:tcPr>
          <w:p w14:paraId="4ADE119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暨南大学教授</w:t>
            </w:r>
          </w:p>
        </w:tc>
      </w:tr>
      <w:tr w14:paraId="3C23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E5E45D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人工智能时代的口译：挑战与机遇</w:t>
            </w:r>
          </w:p>
        </w:tc>
        <w:tc>
          <w:tcPr>
            <w:tcW w:w="866" w:type="dxa"/>
            <w:vAlign w:val="center"/>
          </w:tcPr>
          <w:p w14:paraId="41A9F73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万宏瑜</w:t>
            </w:r>
          </w:p>
        </w:tc>
        <w:tc>
          <w:tcPr>
            <w:tcW w:w="2333" w:type="dxa"/>
            <w:vAlign w:val="center"/>
          </w:tcPr>
          <w:p w14:paraId="307CBB1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上海外国语大学副教授</w:t>
            </w:r>
          </w:p>
        </w:tc>
      </w:tr>
      <w:tr w14:paraId="0A38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292C03E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AI+新媒体创作：从理念到实践</w:t>
            </w:r>
          </w:p>
        </w:tc>
        <w:tc>
          <w:tcPr>
            <w:tcW w:w="866" w:type="dxa"/>
            <w:vAlign w:val="center"/>
          </w:tcPr>
          <w:p w14:paraId="189EE4C7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赵甜芳</w:t>
            </w:r>
          </w:p>
        </w:tc>
        <w:tc>
          <w:tcPr>
            <w:tcW w:w="2333" w:type="dxa"/>
            <w:vAlign w:val="center"/>
          </w:tcPr>
          <w:p w14:paraId="22BB65AF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暨南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大学副教授</w:t>
            </w:r>
          </w:p>
        </w:tc>
      </w:tr>
      <w:tr w14:paraId="1B2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CEB3E2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音乐人工智能与计算机听觉</w:t>
            </w:r>
          </w:p>
        </w:tc>
        <w:tc>
          <w:tcPr>
            <w:tcW w:w="866" w:type="dxa"/>
            <w:vAlign w:val="center"/>
          </w:tcPr>
          <w:p w14:paraId="27BCB4B1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2333" w:type="dxa"/>
            <w:vAlign w:val="center"/>
          </w:tcPr>
          <w:p w14:paraId="0D6C9F3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复旦大学教授</w:t>
            </w:r>
          </w:p>
        </w:tc>
      </w:tr>
      <w:tr w14:paraId="32A1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5A4B350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智能纤维与未来服装</w:t>
            </w:r>
          </w:p>
        </w:tc>
        <w:tc>
          <w:tcPr>
            <w:tcW w:w="866" w:type="dxa"/>
            <w:vAlign w:val="center"/>
          </w:tcPr>
          <w:p w14:paraId="123EBC58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侯成义</w:t>
            </w:r>
          </w:p>
        </w:tc>
        <w:tc>
          <w:tcPr>
            <w:tcW w:w="2333" w:type="dxa"/>
            <w:vAlign w:val="center"/>
          </w:tcPr>
          <w:p w14:paraId="0BCC2B2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东华大学研究员</w:t>
            </w:r>
          </w:p>
        </w:tc>
      </w:tr>
      <w:tr w14:paraId="4D3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22" w:type="dxa"/>
            <w:gridSpan w:val="3"/>
          </w:tcPr>
          <w:p w14:paraId="6A8D639D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AI边界</w:t>
            </w:r>
          </w:p>
        </w:tc>
      </w:tr>
      <w:tr w14:paraId="18D6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shd w:val="clear" w:color="auto" w:fill="30C0B4" w:themeFill="accent5"/>
          </w:tcPr>
          <w:p w14:paraId="468DF4BC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4EF2B3E0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4FEB8193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547A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16FA0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人工智能时代，何以为人？</w:t>
            </w:r>
          </w:p>
        </w:tc>
        <w:tc>
          <w:tcPr>
            <w:tcW w:w="866" w:type="dxa"/>
            <w:vAlign w:val="center"/>
          </w:tcPr>
          <w:p w14:paraId="3272A8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杜骏飞</w:t>
            </w:r>
          </w:p>
        </w:tc>
        <w:tc>
          <w:tcPr>
            <w:tcW w:w="2333" w:type="dxa"/>
            <w:vAlign w:val="center"/>
          </w:tcPr>
          <w:p w14:paraId="73AD25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南京大学教授</w:t>
            </w:r>
          </w:p>
        </w:tc>
      </w:tr>
      <w:tr w14:paraId="45E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287FB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AI浪潮下的政治智慧与爱的觉醒</w:t>
            </w:r>
          </w:p>
        </w:tc>
        <w:tc>
          <w:tcPr>
            <w:tcW w:w="866" w:type="dxa"/>
            <w:vAlign w:val="center"/>
          </w:tcPr>
          <w:p w14:paraId="35C9CC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吴冠军</w:t>
            </w:r>
          </w:p>
        </w:tc>
        <w:tc>
          <w:tcPr>
            <w:tcW w:w="2333" w:type="dxa"/>
            <w:vAlign w:val="bottom"/>
          </w:tcPr>
          <w:p w14:paraId="19AABB8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华东师范大学教授</w:t>
            </w:r>
          </w:p>
        </w:tc>
      </w:tr>
      <w:tr w14:paraId="4F5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23" w:type="dxa"/>
            <w:vAlign w:val="bottom"/>
          </w:tcPr>
          <w:p w14:paraId="1E1A782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“AI觉醒”：我们需要超级人工智能吗？</w:t>
            </w:r>
          </w:p>
        </w:tc>
        <w:tc>
          <w:tcPr>
            <w:tcW w:w="866" w:type="dxa"/>
            <w:vAlign w:val="bottom"/>
          </w:tcPr>
          <w:p w14:paraId="787FF0D7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刘永谋</w:t>
            </w:r>
          </w:p>
        </w:tc>
        <w:tc>
          <w:tcPr>
            <w:tcW w:w="2333" w:type="dxa"/>
            <w:vAlign w:val="bottom"/>
          </w:tcPr>
          <w:p w14:paraId="5F475A4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中国人民大学教授</w:t>
            </w:r>
          </w:p>
        </w:tc>
      </w:tr>
      <w:tr w14:paraId="151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2D696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人工智能的设计伦理</w:t>
            </w:r>
          </w:p>
        </w:tc>
        <w:tc>
          <w:tcPr>
            <w:tcW w:w="866" w:type="dxa"/>
            <w:vAlign w:val="center"/>
          </w:tcPr>
          <w:p w14:paraId="406E67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张正清</w:t>
            </w:r>
          </w:p>
        </w:tc>
        <w:tc>
          <w:tcPr>
            <w:tcW w:w="2333" w:type="dxa"/>
            <w:vAlign w:val="center"/>
          </w:tcPr>
          <w:p w14:paraId="667AEE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北京航空航天大学副教授</w:t>
            </w:r>
          </w:p>
        </w:tc>
      </w:tr>
      <w:tr w14:paraId="3601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bottom"/>
          </w:tcPr>
          <w:p w14:paraId="3B6F0B1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AI可以署名吗？——生成式人工智能应用中的版权问题</w:t>
            </w:r>
          </w:p>
        </w:tc>
        <w:tc>
          <w:tcPr>
            <w:tcW w:w="866" w:type="dxa"/>
            <w:vAlign w:val="bottom"/>
          </w:tcPr>
          <w:p w14:paraId="2E08CC4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肖艺能</w:t>
            </w:r>
          </w:p>
        </w:tc>
        <w:tc>
          <w:tcPr>
            <w:tcW w:w="2333" w:type="dxa"/>
            <w:vAlign w:val="bottom"/>
          </w:tcPr>
          <w:p w14:paraId="229129E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南京大学研究员</w:t>
            </w:r>
          </w:p>
        </w:tc>
      </w:tr>
      <w:tr w14:paraId="2D81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7E560C1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人工智能的法律边界</w:t>
            </w:r>
          </w:p>
        </w:tc>
        <w:tc>
          <w:tcPr>
            <w:tcW w:w="866" w:type="dxa"/>
            <w:vAlign w:val="center"/>
          </w:tcPr>
          <w:p w14:paraId="461AAD7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孙远钊</w:t>
            </w:r>
          </w:p>
        </w:tc>
        <w:tc>
          <w:tcPr>
            <w:tcW w:w="2333" w:type="dxa"/>
            <w:vAlign w:val="bottom"/>
          </w:tcPr>
          <w:p w14:paraId="087C8ED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美国亚太法学研究院执行长</w:t>
            </w:r>
          </w:p>
        </w:tc>
      </w:tr>
      <w:tr w14:paraId="5722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5673ECA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人工智能伦理进展、挑战及其应对方案</w:t>
            </w:r>
          </w:p>
        </w:tc>
        <w:tc>
          <w:tcPr>
            <w:tcW w:w="866" w:type="dxa"/>
            <w:vAlign w:val="center"/>
          </w:tcPr>
          <w:p w14:paraId="384AF18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崔中良</w:t>
            </w:r>
          </w:p>
        </w:tc>
        <w:tc>
          <w:tcPr>
            <w:tcW w:w="2333" w:type="dxa"/>
            <w:vAlign w:val="bottom"/>
          </w:tcPr>
          <w:p w14:paraId="2E21861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南京信息工程大学副教授</w:t>
            </w:r>
          </w:p>
        </w:tc>
      </w:tr>
    </w:tbl>
    <w:p w14:paraId="34ADD91B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6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五、活动参与方式</w:t>
      </w:r>
    </w:p>
    <w:p w14:paraId="0C6E9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1.下载“学习通” App或移动图书馆，首页右上角输入邀请码“bbgsxytsg”进入图书馆首页。</w:t>
      </w:r>
    </w:p>
    <w:p w14:paraId="0A9FF629">
      <w:pPr>
        <w:spacing w:line="360" w:lineRule="auto"/>
        <w:ind w:firstLine="840" w:firstLineChars="3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INCLUDEPICTURE "/var/folders/09/dhqy9z1122n1vggd285167gh0000gn/T/com.microsoft.Word/WebArchiveCopyPasteTempFiles/640?wx_fmt=jpeg&amp;wxfrom=5&amp;wx_lazy=1&amp;wx_co=1" \* MERGEFORMATINET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drawing>
          <wp:inline distT="0" distB="0" distL="0" distR="0">
            <wp:extent cx="1503680" cy="1416050"/>
            <wp:effectExtent l="0" t="0" r="1270" b="12700"/>
            <wp:docPr id="1029" name="图片 11" descr="/var/folders/09/dhqy9z1122n1vggd285167gh0000gn/T/com.microsoft.Word/WebArchiveCopyPasteTempFiles/640?wx_fmt=jpeg&amp;wxfrom=5&amp;wx_lazy=1&amp;wx_co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1" descr="/var/folders/09/dhqy9z1122n1vggd285167gh0000gn/T/com.microsoft.Word/WebArchiveCopyPasteTempFiles/640?wx_fmt=jpeg&amp;wxfrom=5&amp;wx_lazy=1&amp;wx_co=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1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drawing>
          <wp:inline distT="0" distB="0" distL="0" distR="0">
            <wp:extent cx="1427480" cy="1427480"/>
            <wp:effectExtent l="0" t="0" r="1270" b="1270"/>
            <wp:docPr id="103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3551022C">
      <w:pPr>
        <w:spacing w:line="360" w:lineRule="auto"/>
        <w:ind w:firstLine="1680" w:firstLineChars="7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学习通                    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移动图书馆</w:t>
      </w:r>
    </w:p>
    <w:p w14:paraId="7FCD0F0C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2.点击“30分钟打卡”参与活动。</w:t>
      </w:r>
    </w:p>
    <w:p w14:paraId="262CD063">
      <w:pPr>
        <w:pStyle w:val="8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九、抽奖规则</w:t>
      </w:r>
    </w:p>
    <w:p w14:paraId="401130D6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1.奖项设置</w:t>
      </w:r>
    </w:p>
    <w:p w14:paraId="7D16F455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一等奖：4名</w:t>
      </w:r>
    </w:p>
    <w:p w14:paraId="364D819F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二等奖：6名</w:t>
      </w:r>
    </w:p>
    <w:p w14:paraId="3315BF8C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三等奖：10名</w:t>
      </w:r>
    </w:p>
    <w:p w14:paraId="133BB608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2.评奖方式</w:t>
      </w:r>
    </w:p>
    <w:p w14:paraId="2AE67333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按参与者打卡天数从高到低依次评奖。打卡天数相同的，采取现场抽奖方式确定获奖人员。时间地点另行通知。</w:t>
      </w:r>
    </w:p>
    <w:p w14:paraId="4D81DE25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3.抽取方式</w:t>
      </w:r>
    </w:p>
    <w:p w14:paraId="3EAA9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所有奖统一优先从打卡满21天的用户中抽取；若满21天的人不足，再按满20天、满19天、满18天.....依次顺延抽取；每位用户仅可中奖一次， 不重复获奖。</w:t>
      </w:r>
    </w:p>
    <w:p w14:paraId="50C0B737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4.其他说明</w:t>
      </w:r>
    </w:p>
    <w:p w14:paraId="707AAA8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当天忘记的打卡不可补卡，可从次日继续参与打卡。</w:t>
      </w:r>
    </w:p>
    <w:p w14:paraId="14BECB4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联系人：韩老师 0552-2566578</w:t>
      </w:r>
    </w:p>
    <w:p w14:paraId="1D9BC9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活动交流QQ群：981594665</w:t>
      </w:r>
    </w:p>
    <w:p w14:paraId="26AC9F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4289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07F7"/>
    <w:rsid w:val="0CF1050C"/>
    <w:rsid w:val="2EF064BE"/>
    <w:rsid w:val="41C96F9E"/>
    <w:rsid w:val="44630D8A"/>
    <w:rsid w:val="525E1590"/>
    <w:rsid w:val="54B36C47"/>
    <w:rsid w:val="5D6D07F7"/>
    <w:rsid w:val="5ED54089"/>
    <w:rsid w:val="76441137"/>
    <w:rsid w:val="7AE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8"/>
    <w:pPr>
      <w:jc w:val="both"/>
      <w:outlineLvl w:val="1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845</Characters>
  <Lines>0</Lines>
  <Paragraphs>0</Paragraphs>
  <TotalTime>3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2026-03-27T11:09:00Z</dcterms:created>
  <dc:creator>韩嗲嗲✨</dc:creator>
  <cp:lastModifiedBy>TiAmo</cp:lastModifiedBy>
  <dcterms:modified xsi:type="dcterms:W3CDTF">2026-04-03T04:20:57Z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CCC834DBB77E4AEF9057F5BC947C294C_13</vt:lpwstr>
  </property>
  <property fmtid="{D5CDD505-2E9C-101B-9397-08002B2CF9AE}" pid="4" name="KSOTemplateDocerSaveRecord">
    <vt:lpwstr>eyJoZGlkIjoiZDg1YmYyZWE5ZWI2ODkzYWFkZDM5ODhkZWYwN2I4ZmEiLCJ1c2VySWQiOiIxMjAzOTI3ODc2In0=</vt:lpwstr>
  </property>
</Properties>
</file>